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42B" w:rsidRDefault="00267A5E">
      <w:pPr>
        <w:spacing w:after="0" w:line="259" w:lineRule="auto"/>
        <w:ind w:left="0" w:firstLine="0"/>
        <w:jc w:val="left"/>
      </w:pPr>
      <w:bookmarkStart w:id="0" w:name="_GoBack"/>
      <w:bookmarkEnd w:id="0"/>
      <w:r>
        <w:t xml:space="preserve"> </w:t>
      </w:r>
    </w:p>
    <w:p w:rsidR="0007042B" w:rsidRDefault="00267A5E">
      <w:pPr>
        <w:spacing w:after="10" w:line="230" w:lineRule="auto"/>
        <w:ind w:left="0" w:right="1454" w:firstLine="0"/>
        <w:jc w:val="left"/>
      </w:pPr>
      <w:r>
        <w:rPr>
          <w:b/>
          <w:sz w:val="16"/>
        </w:rPr>
        <w:t>CHRISTOPHER HARVEY, Q.C.*</w:t>
      </w:r>
      <w:r>
        <w:rPr>
          <w:sz w:val="16"/>
        </w:rPr>
        <w:t xml:space="preserve"> </w:t>
      </w:r>
      <w:r>
        <w:rPr>
          <w:sz w:val="17"/>
        </w:rPr>
        <w:t xml:space="preserve">DIRECT LINE: </w:t>
      </w:r>
      <w:r>
        <w:rPr>
          <w:sz w:val="17"/>
        </w:rPr>
        <w:tab/>
        <w:t xml:space="preserve">604 443 1201 </w:t>
      </w:r>
    </w:p>
    <w:p w:rsidR="0007042B" w:rsidRDefault="00267A5E">
      <w:pPr>
        <w:spacing w:after="235" w:line="239" w:lineRule="auto"/>
        <w:ind w:left="0" w:right="1811" w:firstLine="0"/>
        <w:jc w:val="left"/>
      </w:pPr>
      <w:r>
        <w:rPr>
          <w:sz w:val="17"/>
        </w:rPr>
        <w:t xml:space="preserve">EMAIL: charvey@macfuj.com WEB: </w:t>
      </w:r>
      <w:r>
        <w:rPr>
          <w:sz w:val="17"/>
        </w:rPr>
        <w:tab/>
        <w:t xml:space="preserve">www.macfuj.com </w:t>
      </w:r>
    </w:p>
    <w:p w:rsidR="0007042B" w:rsidRDefault="00267A5E">
      <w:pPr>
        <w:spacing w:after="328" w:line="259" w:lineRule="auto"/>
        <w:ind w:left="0" w:firstLine="0"/>
        <w:jc w:val="left"/>
      </w:pPr>
      <w:r>
        <w:rPr>
          <w:sz w:val="16"/>
        </w:rPr>
        <w:t xml:space="preserve">*Law Corporation </w:t>
      </w:r>
    </w:p>
    <w:p w:rsidR="0007042B" w:rsidRDefault="00267A5E">
      <w:pPr>
        <w:pStyle w:val="Heading1"/>
        <w:tabs>
          <w:tab w:val="center" w:pos="1986"/>
        </w:tabs>
      </w:pPr>
      <w:r>
        <w:t>OUR FILE NO.</w:t>
      </w:r>
      <w:r>
        <w:rPr>
          <w:sz w:val="24"/>
          <w:vertAlign w:val="baseline"/>
        </w:rPr>
        <w:t xml:space="preserve"> </w:t>
      </w:r>
      <w:r>
        <w:rPr>
          <w:sz w:val="24"/>
          <w:vertAlign w:val="baseline"/>
        </w:rPr>
        <w:tab/>
        <w:t xml:space="preserve">G2674-000 </w:t>
      </w:r>
    </w:p>
    <w:p w:rsidR="0007042B" w:rsidRDefault="00267A5E">
      <w:pPr>
        <w:spacing w:line="259" w:lineRule="auto"/>
        <w:ind w:left="0" w:firstLine="0"/>
        <w:jc w:val="left"/>
      </w:pPr>
      <w:r>
        <w:rPr>
          <w:b/>
          <w:sz w:val="22"/>
          <w:u w:val="single" w:color="000000"/>
        </w:rPr>
        <w:t>VIA EMAIL</w:t>
      </w:r>
      <w:r>
        <w:rPr>
          <w:b/>
          <w:sz w:val="22"/>
        </w:rPr>
        <w:t xml:space="preserve"> </w:t>
      </w:r>
    </w:p>
    <w:p w:rsidR="0007042B" w:rsidRDefault="00267A5E">
      <w:pPr>
        <w:spacing w:after="10"/>
      </w:pPr>
      <w:r>
        <w:t xml:space="preserve">Minister of Forests, Lands, Natural Resource </w:t>
      </w:r>
    </w:p>
    <w:p w:rsidR="0007042B" w:rsidRDefault="00267A5E">
      <w:pPr>
        <w:ind w:right="253"/>
      </w:pPr>
      <w:r>
        <w:t xml:space="preserve">Operations and Rural Development  </w:t>
      </w:r>
    </w:p>
    <w:p w:rsidR="0007042B" w:rsidRDefault="00267A5E">
      <w:pPr>
        <w:spacing w:after="8" w:line="252" w:lineRule="auto"/>
        <w:jc w:val="left"/>
      </w:pPr>
      <w:r>
        <w:rPr>
          <w:b/>
        </w:rPr>
        <w:t xml:space="preserve">Attention: Ross McElroy, </w:t>
      </w:r>
      <w:r>
        <w:t xml:space="preserve">  </w:t>
      </w:r>
    </w:p>
    <w:p w:rsidR="0007042B" w:rsidRDefault="00267A5E">
      <w:pPr>
        <w:ind w:right="253"/>
      </w:pPr>
      <w:r>
        <w:t xml:space="preserve">Director of Authorizations, West Coast Ross.McElroy@gov.bc.ca </w:t>
      </w:r>
    </w:p>
    <w:p w:rsidR="0007042B" w:rsidRDefault="00267A5E">
      <w:r>
        <w:t xml:space="preserve">Ministry of Forests, Lands, Natural Resource Operations and Rural Development   </w:t>
      </w:r>
    </w:p>
    <w:p w:rsidR="0007042B" w:rsidRDefault="00267A5E">
      <w:pPr>
        <w:spacing w:after="8" w:line="252" w:lineRule="auto"/>
        <w:jc w:val="left"/>
      </w:pPr>
      <w:r>
        <w:rPr>
          <w:b/>
        </w:rPr>
        <w:t xml:space="preserve">Attention: Cali </w:t>
      </w:r>
      <w:proofErr w:type="spellStart"/>
      <w:r>
        <w:rPr>
          <w:b/>
        </w:rPr>
        <w:t>Melnechenko</w:t>
      </w:r>
      <w:proofErr w:type="spellEnd"/>
      <w:r>
        <w:rPr>
          <w:b/>
        </w:rPr>
        <w:t xml:space="preserve">,  </w:t>
      </w:r>
    </w:p>
    <w:p w:rsidR="0007042B" w:rsidRDefault="00267A5E">
      <w:pPr>
        <w:spacing w:after="266"/>
        <w:ind w:right="253"/>
      </w:pPr>
      <w:r>
        <w:t>Water Authorizations Section Head Cali.Melnechenko@go</w:t>
      </w:r>
      <w:r>
        <w:t>v.bc.ca</w:t>
      </w:r>
      <w:r>
        <w:rPr>
          <w:b/>
        </w:rPr>
        <w:t xml:space="preserve"> </w:t>
      </w:r>
    </w:p>
    <w:p w:rsidR="0007042B" w:rsidRDefault="00267A5E">
      <w:pPr>
        <w:ind w:left="-5" w:right="253"/>
      </w:pPr>
      <w:r>
        <w:t xml:space="preserve">Dear Sirs/Mesdames:  </w:t>
      </w:r>
    </w:p>
    <w:p w:rsidR="0007042B" w:rsidRDefault="00267A5E">
      <w:pPr>
        <w:spacing w:after="783" w:line="259" w:lineRule="auto"/>
        <w:ind w:left="63" w:right="-345" w:firstLine="0"/>
        <w:jc w:val="left"/>
      </w:pPr>
      <w:r>
        <w:rPr>
          <w:noProof/>
        </w:rPr>
        <w:drawing>
          <wp:inline distT="0" distB="0" distL="0" distR="0">
            <wp:extent cx="3290062" cy="7219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4"/>
                    <a:stretch>
                      <a:fillRect/>
                    </a:stretch>
                  </pic:blipFill>
                  <pic:spPr>
                    <a:xfrm>
                      <a:off x="0" y="0"/>
                      <a:ext cx="3290062" cy="721995"/>
                    </a:xfrm>
                    <a:prstGeom prst="rect">
                      <a:avLst/>
                    </a:prstGeom>
                  </pic:spPr>
                </pic:pic>
              </a:graphicData>
            </a:graphic>
          </wp:inline>
        </w:drawing>
      </w:r>
    </w:p>
    <w:p w:rsidR="0007042B" w:rsidRDefault="00267A5E">
      <w:pPr>
        <w:spacing w:after="468" w:line="259" w:lineRule="auto"/>
        <w:ind w:left="0" w:firstLine="0"/>
        <w:jc w:val="right"/>
      </w:pPr>
      <w:r>
        <w:t xml:space="preserve">May 3, 2022 </w:t>
      </w:r>
    </w:p>
    <w:p w:rsidR="0007042B" w:rsidRDefault="00267A5E">
      <w:pPr>
        <w:ind w:left="-5" w:right="253"/>
      </w:pPr>
      <w:r>
        <w:t xml:space="preserve">Ministry of Public Safety &amp; Solicitor General  </w:t>
      </w:r>
    </w:p>
    <w:p w:rsidR="0007042B" w:rsidRDefault="00267A5E">
      <w:pPr>
        <w:spacing w:after="8" w:line="252" w:lineRule="auto"/>
        <w:ind w:left="-5"/>
        <w:jc w:val="left"/>
      </w:pPr>
      <w:r>
        <w:rPr>
          <w:b/>
        </w:rPr>
        <w:t>Attention: Angela Cameron</w:t>
      </w:r>
      <w:r>
        <w:t xml:space="preserve"> </w:t>
      </w:r>
    </w:p>
    <w:p w:rsidR="0007042B" w:rsidRDefault="00267A5E">
      <w:pPr>
        <w:spacing w:after="779"/>
        <w:ind w:left="-5" w:right="253"/>
      </w:pPr>
      <w:r>
        <w:t xml:space="preserve">Angela.M.Cameron@gov.bc.ca </w:t>
      </w:r>
    </w:p>
    <w:p w:rsidR="0007042B" w:rsidRDefault="00267A5E">
      <w:pPr>
        <w:spacing w:after="10"/>
        <w:ind w:left="-5" w:right="253"/>
      </w:pPr>
      <w:r>
        <w:t xml:space="preserve">Comox Valley Regional District </w:t>
      </w:r>
    </w:p>
    <w:p w:rsidR="0007042B" w:rsidRDefault="00267A5E">
      <w:pPr>
        <w:spacing w:after="0" w:line="259" w:lineRule="auto"/>
        <w:ind w:left="0" w:firstLine="0"/>
        <w:jc w:val="left"/>
      </w:pPr>
      <w:r>
        <w:t xml:space="preserve"> </w:t>
      </w:r>
    </w:p>
    <w:p w:rsidR="0007042B" w:rsidRDefault="00267A5E">
      <w:pPr>
        <w:spacing w:after="8" w:line="252" w:lineRule="auto"/>
        <w:ind w:left="-5"/>
        <w:jc w:val="left"/>
      </w:pPr>
      <w:r>
        <w:rPr>
          <w:b/>
        </w:rPr>
        <w:t xml:space="preserve">Attention: Alana </w:t>
      </w:r>
      <w:proofErr w:type="spellStart"/>
      <w:r>
        <w:rPr>
          <w:b/>
        </w:rPr>
        <w:t>Mullaly</w:t>
      </w:r>
      <w:proofErr w:type="spellEnd"/>
      <w:r>
        <w:t xml:space="preserve">,  </w:t>
      </w:r>
    </w:p>
    <w:p w:rsidR="0007042B" w:rsidRDefault="00267A5E">
      <w:pPr>
        <w:spacing w:after="10"/>
        <w:ind w:left="-5" w:right="253"/>
      </w:pPr>
      <w:r>
        <w:t xml:space="preserve">Senior Manager of Sustainability and RGS </w:t>
      </w:r>
    </w:p>
    <w:p w:rsidR="0007042B" w:rsidRDefault="00267A5E">
      <w:pPr>
        <w:ind w:left="-5" w:right="1213"/>
      </w:pPr>
      <w:r>
        <w:t xml:space="preserve">Planning amullaly@comoxvalleyrd.ca </w:t>
      </w:r>
    </w:p>
    <w:p w:rsidR="0007042B" w:rsidRDefault="0007042B">
      <w:pPr>
        <w:sectPr w:rsidR="0007042B">
          <w:pgSz w:w="12240" w:h="15840"/>
          <w:pgMar w:top="1080" w:right="1152" w:bottom="1440" w:left="1080" w:header="720" w:footer="720" w:gutter="0"/>
          <w:cols w:num="2" w:space="720" w:equalWidth="0">
            <w:col w:w="4475" w:space="602"/>
            <w:col w:w="4931"/>
          </w:cols>
        </w:sectPr>
      </w:pPr>
    </w:p>
    <w:p w:rsidR="0007042B" w:rsidRDefault="00267A5E">
      <w:pPr>
        <w:spacing w:after="221" w:line="252" w:lineRule="auto"/>
        <w:ind w:left="705" w:hanging="720"/>
        <w:jc w:val="left"/>
      </w:pPr>
      <w:r>
        <w:rPr>
          <w:b/>
        </w:rPr>
        <w:t xml:space="preserve">Re: </w:t>
      </w:r>
      <w:r>
        <w:rPr>
          <w:b/>
        </w:rPr>
        <w:tab/>
        <w:t xml:space="preserve">Application to amend conditional water licence 500169 granted on November 21, 2017 to divert groundwater from aquifer 408 for industrial (fresh water bottling) use </w:t>
      </w:r>
    </w:p>
    <w:p w:rsidR="0007042B" w:rsidRDefault="00267A5E">
      <w:pPr>
        <w:ind w:left="-5" w:right="253"/>
      </w:pPr>
      <w:r>
        <w:t>We write on behalf of Bruce Gibbons, a resident of the Comox Valley, with respect to the above-noted amendment application.  We understand that the application is presently under consideration by the statutory decision-maker and by the Comox Valley Regiona</w:t>
      </w:r>
      <w:r>
        <w:t xml:space="preserve">l District on referral. </w:t>
      </w:r>
    </w:p>
    <w:p w:rsidR="0007042B" w:rsidRDefault="00267A5E">
      <w:pPr>
        <w:ind w:left="-5" w:right="253"/>
      </w:pPr>
      <w:r>
        <w:t xml:space="preserve">First, we request a copy of the application. </w:t>
      </w:r>
    </w:p>
    <w:p w:rsidR="0007042B" w:rsidRDefault="00267A5E">
      <w:pPr>
        <w:ind w:left="-5" w:right="253"/>
      </w:pPr>
      <w:r>
        <w:t>From the limited information we have the application relates to an extension of the deadline for commencing beneficial use (which expired on December 31, 2020) and for a change of indus</w:t>
      </w:r>
      <w:r>
        <w:t xml:space="preserve">trial use from item 7 (fresh water bottling) of Column 1, Schedule A, of the Water Sustainability Regulation to a use that is not listed in the said Schedule, namely the bulk shipment of groundwater in tanker trucks within the Province.  </w:t>
      </w:r>
    </w:p>
    <w:p w:rsidR="0007042B" w:rsidRDefault="00267A5E">
      <w:pPr>
        <w:ind w:left="-5" w:right="253"/>
      </w:pPr>
      <w:r>
        <w:t>If our informatio</w:t>
      </w:r>
      <w:r>
        <w:t xml:space="preserve">n is correct, there is no authority under the </w:t>
      </w:r>
      <w:r>
        <w:rPr>
          <w:i/>
        </w:rPr>
        <w:t>Water Sustainability Act</w:t>
      </w:r>
      <w:r>
        <w:t xml:space="preserve"> to permit such a use.   The authority granted to the comptroller or a water manager to issue a licence authorizing the diversion or use of water from an aquifer is limited to one or mor</w:t>
      </w:r>
      <w:r>
        <w:t>e of the water use purposes designated by regulation.  The Water Sustainability Regulation includes “fresh water bottling” as a designated industrial water use purpose, but the bulk shipment of water by land is not a designated use.  It would therefore tak</w:t>
      </w:r>
      <w:r>
        <w:t xml:space="preserve">e an amendment of the Regulation to render permissible such a use. </w:t>
      </w:r>
    </w:p>
    <w:p w:rsidR="0007042B" w:rsidRDefault="00267A5E">
      <w:pPr>
        <w:spacing w:after="211" w:line="259" w:lineRule="auto"/>
        <w:ind w:left="0" w:firstLine="0"/>
        <w:jc w:val="left"/>
      </w:pPr>
      <w:r>
        <w:t xml:space="preserve"> </w:t>
      </w:r>
    </w:p>
    <w:p w:rsidR="0007042B" w:rsidRDefault="00267A5E">
      <w:pPr>
        <w:tabs>
          <w:tab w:val="center" w:pos="9902"/>
        </w:tabs>
        <w:spacing w:after="290" w:line="259" w:lineRule="auto"/>
        <w:ind w:left="0" w:firstLine="0"/>
        <w:jc w:val="left"/>
      </w:pPr>
      <w:r>
        <w:rPr>
          <w:rFonts w:ascii="Arial" w:eastAsia="Arial" w:hAnsi="Arial" w:cs="Arial"/>
          <w:sz w:val="14"/>
        </w:rPr>
        <w:lastRenderedPageBreak/>
        <w:t xml:space="preserve">G2674/0000/00546066 </w:t>
      </w:r>
      <w:r>
        <w:rPr>
          <w:rFonts w:ascii="Arial" w:eastAsia="Arial" w:hAnsi="Arial" w:cs="Arial"/>
          <w:sz w:val="14"/>
        </w:rPr>
        <w:tab/>
        <w:t xml:space="preserve"> </w:t>
      </w:r>
    </w:p>
    <w:p w:rsidR="0007042B" w:rsidRDefault="00267A5E">
      <w:pPr>
        <w:spacing w:after="13" w:line="259" w:lineRule="auto"/>
        <w:ind w:left="10" w:right="140"/>
        <w:jc w:val="center"/>
      </w:pPr>
      <w:r>
        <w:rPr>
          <w:rFonts w:ascii="Arial" w:eastAsia="Arial" w:hAnsi="Arial" w:cs="Arial"/>
          <w:b/>
          <w:sz w:val="18"/>
        </w:rPr>
        <w:t xml:space="preserve">1600 – 1095 West Pender Street </w:t>
      </w:r>
      <w:r>
        <w:rPr>
          <w:rFonts w:ascii="Segoe UI Symbol" w:eastAsia="Segoe UI Symbol" w:hAnsi="Segoe UI Symbol" w:cs="Segoe UI Symbol"/>
          <w:sz w:val="18"/>
        </w:rPr>
        <w:t></w:t>
      </w:r>
      <w:r>
        <w:rPr>
          <w:rFonts w:ascii="Arial" w:eastAsia="Arial" w:hAnsi="Arial" w:cs="Arial"/>
          <w:b/>
          <w:sz w:val="18"/>
        </w:rPr>
        <w:t xml:space="preserve"> Vancouver, BC </w:t>
      </w:r>
      <w:proofErr w:type="gramStart"/>
      <w:r>
        <w:rPr>
          <w:rFonts w:ascii="Segoe UI Symbol" w:eastAsia="Segoe UI Symbol" w:hAnsi="Segoe UI Symbol" w:cs="Segoe UI Symbol"/>
          <w:sz w:val="18"/>
        </w:rPr>
        <w:t></w:t>
      </w:r>
      <w:r>
        <w:rPr>
          <w:rFonts w:ascii="Arial" w:eastAsia="Arial" w:hAnsi="Arial" w:cs="Arial"/>
          <w:b/>
          <w:sz w:val="18"/>
        </w:rPr>
        <w:t xml:space="preserve">  V6E</w:t>
      </w:r>
      <w:proofErr w:type="gramEnd"/>
      <w:r>
        <w:rPr>
          <w:rFonts w:ascii="Arial" w:eastAsia="Arial" w:hAnsi="Arial" w:cs="Arial"/>
          <w:b/>
          <w:sz w:val="18"/>
        </w:rPr>
        <w:t xml:space="preserve"> 2M6  </w:t>
      </w:r>
    </w:p>
    <w:p w:rsidR="0007042B" w:rsidRDefault="00267A5E">
      <w:pPr>
        <w:spacing w:after="13" w:line="259" w:lineRule="auto"/>
        <w:ind w:left="10" w:right="141"/>
        <w:jc w:val="center"/>
      </w:pPr>
      <w:r>
        <w:rPr>
          <w:rFonts w:ascii="Arial" w:eastAsia="Arial" w:hAnsi="Arial" w:cs="Arial"/>
          <w:b/>
          <w:color w:val="007E39"/>
          <w:sz w:val="22"/>
        </w:rPr>
        <w:t>T</w:t>
      </w:r>
      <w:r>
        <w:rPr>
          <w:rFonts w:ascii="Arial" w:eastAsia="Arial" w:hAnsi="Arial" w:cs="Arial"/>
          <w:b/>
          <w:sz w:val="18"/>
        </w:rPr>
        <w:t xml:space="preserve"> 604 689 3281 </w:t>
      </w:r>
      <w:r>
        <w:rPr>
          <w:rFonts w:ascii="Segoe UI Symbol" w:eastAsia="Segoe UI Symbol" w:hAnsi="Segoe UI Symbol" w:cs="Segoe UI Symbol"/>
          <w:sz w:val="18"/>
        </w:rPr>
        <w:t></w:t>
      </w:r>
      <w:r>
        <w:rPr>
          <w:rFonts w:ascii="Arial" w:eastAsia="Arial" w:hAnsi="Arial" w:cs="Arial"/>
          <w:b/>
          <w:sz w:val="18"/>
        </w:rPr>
        <w:t xml:space="preserve"> </w:t>
      </w:r>
      <w:r>
        <w:rPr>
          <w:rFonts w:ascii="Arial" w:eastAsia="Arial" w:hAnsi="Arial" w:cs="Arial"/>
          <w:b/>
          <w:color w:val="007E39"/>
          <w:sz w:val="22"/>
        </w:rPr>
        <w:t>F</w:t>
      </w:r>
      <w:r>
        <w:rPr>
          <w:rFonts w:ascii="Arial" w:eastAsia="Arial" w:hAnsi="Arial" w:cs="Arial"/>
          <w:b/>
          <w:sz w:val="18"/>
        </w:rPr>
        <w:t xml:space="preserve"> 604 685 6494</w:t>
      </w:r>
      <w:r>
        <w:rPr>
          <w:rFonts w:ascii="Arial" w:eastAsia="Arial" w:hAnsi="Arial" w:cs="Arial"/>
          <w:b/>
          <w:sz w:val="22"/>
        </w:rPr>
        <w:t xml:space="preserve"> </w:t>
      </w:r>
      <w:proofErr w:type="gramStart"/>
      <w:r>
        <w:rPr>
          <w:rFonts w:ascii="Segoe UI Symbol" w:eastAsia="Segoe UI Symbol" w:hAnsi="Segoe UI Symbol" w:cs="Segoe UI Symbol"/>
          <w:sz w:val="18"/>
        </w:rPr>
        <w:t></w:t>
      </w:r>
      <w:r>
        <w:rPr>
          <w:rFonts w:ascii="Arial" w:eastAsia="Arial" w:hAnsi="Arial" w:cs="Arial"/>
          <w:b/>
          <w:sz w:val="18"/>
        </w:rPr>
        <w:t xml:space="preserve">  </w:t>
      </w:r>
      <w:r>
        <w:rPr>
          <w:rFonts w:ascii="Arial" w:eastAsia="Arial" w:hAnsi="Arial" w:cs="Arial"/>
          <w:b/>
          <w:color w:val="007E39"/>
          <w:sz w:val="20"/>
        </w:rPr>
        <w:t>www.macfuj.com</w:t>
      </w:r>
      <w:proofErr w:type="gramEnd"/>
      <w:r>
        <w:rPr>
          <w:rFonts w:ascii="Arial" w:eastAsia="Arial" w:hAnsi="Arial" w:cs="Arial"/>
          <w:b/>
          <w:sz w:val="22"/>
        </w:rPr>
        <w:t xml:space="preserve"> </w:t>
      </w:r>
    </w:p>
    <w:p w:rsidR="0007042B" w:rsidRDefault="00267A5E">
      <w:pPr>
        <w:spacing w:after="0" w:line="259" w:lineRule="auto"/>
        <w:ind w:left="0" w:firstLine="0"/>
        <w:jc w:val="right"/>
      </w:pPr>
      <w:r>
        <w:rPr>
          <w:noProof/>
        </w:rPr>
        <w:drawing>
          <wp:inline distT="0" distB="0" distL="0" distR="0">
            <wp:extent cx="2375154" cy="520700"/>
            <wp:effectExtent l="0" t="0" r="0" b="0"/>
            <wp:docPr id="188" name="Picture 188"/>
            <wp:cNvGraphicFramePr/>
            <a:graphic xmlns:a="http://schemas.openxmlformats.org/drawingml/2006/main">
              <a:graphicData uri="http://schemas.openxmlformats.org/drawingml/2006/picture">
                <pic:pic xmlns:pic="http://schemas.openxmlformats.org/drawingml/2006/picture">
                  <pic:nvPicPr>
                    <pic:cNvPr id="188" name="Picture 188"/>
                    <pic:cNvPicPr/>
                  </pic:nvPicPr>
                  <pic:blipFill>
                    <a:blip r:embed="rId5"/>
                    <a:stretch>
                      <a:fillRect/>
                    </a:stretch>
                  </pic:blipFill>
                  <pic:spPr>
                    <a:xfrm>
                      <a:off x="0" y="0"/>
                      <a:ext cx="2375154" cy="520700"/>
                    </a:xfrm>
                    <a:prstGeom prst="rect">
                      <a:avLst/>
                    </a:prstGeom>
                  </pic:spPr>
                </pic:pic>
              </a:graphicData>
            </a:graphic>
          </wp:inline>
        </w:drawing>
      </w:r>
      <w:r>
        <w:rPr>
          <w:sz w:val="20"/>
        </w:rPr>
        <w:t xml:space="preserve"> </w:t>
      </w:r>
    </w:p>
    <w:p w:rsidR="0007042B" w:rsidRDefault="00267A5E">
      <w:pPr>
        <w:spacing w:after="0" w:line="259" w:lineRule="auto"/>
        <w:ind w:left="0" w:firstLine="0"/>
        <w:jc w:val="left"/>
      </w:pPr>
      <w:r>
        <w:rPr>
          <w:sz w:val="20"/>
        </w:rPr>
        <w:t xml:space="preserve"> </w:t>
      </w:r>
    </w:p>
    <w:p w:rsidR="0007042B" w:rsidRDefault="00267A5E">
      <w:pPr>
        <w:spacing w:after="17" w:line="259" w:lineRule="auto"/>
        <w:ind w:left="0" w:firstLine="0"/>
        <w:jc w:val="left"/>
      </w:pPr>
      <w:r>
        <w:rPr>
          <w:sz w:val="20"/>
        </w:rPr>
        <w:t xml:space="preserve"> </w:t>
      </w:r>
    </w:p>
    <w:p w:rsidR="0007042B" w:rsidRDefault="00267A5E">
      <w:pPr>
        <w:ind w:left="-5" w:right="253"/>
      </w:pPr>
      <w:r>
        <w:t>We are further informed that the application for this novel form of industrial use is being processed by way of amendment of licence rather than by way of a fresh application for a licence.  This deprives our clients of the due process protections that the</w:t>
      </w:r>
      <w:r>
        <w:t>y would have under the Act if the matter were treated as a fresh application.  Since it involves a wholly different use from that contemplated in the original licence application, basic rules of procedural fairness require that the application be treated a</w:t>
      </w:r>
      <w:r>
        <w:t xml:space="preserve">s a fresh licence application. </w:t>
      </w:r>
    </w:p>
    <w:p w:rsidR="0007042B" w:rsidRDefault="00267A5E">
      <w:pPr>
        <w:ind w:left="-5" w:right="253"/>
      </w:pPr>
      <w:r>
        <w:t>Moreover, the acceptance of an amendment application some 15 months after the expiry of the time for commencing beneficial use under the original licence may in itself be grounds for setting the process aside for unreasonabl</w:t>
      </w:r>
      <w:r>
        <w:t xml:space="preserve">eness.  It effectively seeks to amend a licence that has expired by effluxion of time. </w:t>
      </w:r>
    </w:p>
    <w:p w:rsidR="0007042B" w:rsidRDefault="00267A5E">
      <w:pPr>
        <w:ind w:left="-5" w:right="253"/>
      </w:pPr>
      <w:r>
        <w:t xml:space="preserve">For these three </w:t>
      </w:r>
      <w:r>
        <w:t>independent reasons we anticipate being instructed to challenge by way of judicial review any approval of the application.  Given the factual and legal constraints bearing on the decision-maker we would anticipate that a Court would strike down the decisio</w:t>
      </w:r>
      <w:r>
        <w:t xml:space="preserve">n as unreasonable within the meaning of recent jurisprudence from the Supreme Court of Canada. </w:t>
      </w:r>
    </w:p>
    <w:p w:rsidR="0007042B" w:rsidRDefault="00267A5E">
      <w:pPr>
        <w:spacing w:after="10"/>
        <w:ind w:left="-5" w:right="253"/>
      </w:pPr>
      <w:r>
        <w:t xml:space="preserve">Yours truly, </w:t>
      </w:r>
    </w:p>
    <w:p w:rsidR="0007042B" w:rsidRDefault="00267A5E">
      <w:pPr>
        <w:spacing w:after="30" w:line="259" w:lineRule="auto"/>
        <w:ind w:left="0" w:firstLine="0"/>
        <w:jc w:val="left"/>
      </w:pPr>
      <w:r>
        <w:t xml:space="preserve"> </w:t>
      </w:r>
    </w:p>
    <w:p w:rsidR="0007042B" w:rsidRDefault="00267A5E">
      <w:pPr>
        <w:spacing w:after="0" w:line="259" w:lineRule="auto"/>
        <w:ind w:left="0" w:firstLine="0"/>
        <w:jc w:val="left"/>
      </w:pPr>
      <w:r>
        <w:rPr>
          <w:noProof/>
        </w:rPr>
        <w:drawing>
          <wp:anchor distT="0" distB="0" distL="114300" distR="114300" simplePos="0" relativeHeight="251658240" behindDoc="1" locked="0" layoutInCell="1" allowOverlap="0">
            <wp:simplePos x="0" y="0"/>
            <wp:positionH relativeFrom="column">
              <wp:posOffset>269240</wp:posOffset>
            </wp:positionH>
            <wp:positionV relativeFrom="paragraph">
              <wp:posOffset>-18378</wp:posOffset>
            </wp:positionV>
            <wp:extent cx="1758315" cy="908050"/>
            <wp:effectExtent l="0" t="0" r="0" b="0"/>
            <wp:wrapNone/>
            <wp:docPr id="190" name="Picture 190"/>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6"/>
                    <a:stretch>
                      <a:fillRect/>
                    </a:stretch>
                  </pic:blipFill>
                  <pic:spPr>
                    <a:xfrm>
                      <a:off x="0" y="0"/>
                      <a:ext cx="1758315" cy="908050"/>
                    </a:xfrm>
                    <a:prstGeom prst="rect">
                      <a:avLst/>
                    </a:prstGeom>
                  </pic:spPr>
                </pic:pic>
              </a:graphicData>
            </a:graphic>
          </wp:anchor>
        </w:drawing>
      </w:r>
      <w:r>
        <w:rPr>
          <w:b/>
          <w:sz w:val="26"/>
        </w:rPr>
        <w:t>M</w:t>
      </w:r>
      <w:r>
        <w:rPr>
          <w:b/>
          <w:sz w:val="21"/>
        </w:rPr>
        <w:t>AC</w:t>
      </w:r>
      <w:r>
        <w:rPr>
          <w:b/>
          <w:sz w:val="26"/>
        </w:rPr>
        <w:t>K</w:t>
      </w:r>
      <w:r>
        <w:rPr>
          <w:b/>
          <w:sz w:val="21"/>
        </w:rPr>
        <w:t xml:space="preserve">ENZIE </w:t>
      </w:r>
      <w:r>
        <w:rPr>
          <w:b/>
          <w:sz w:val="26"/>
        </w:rPr>
        <w:t>F</w:t>
      </w:r>
      <w:r>
        <w:rPr>
          <w:b/>
          <w:sz w:val="21"/>
        </w:rPr>
        <w:t xml:space="preserve">UJISAWA </w:t>
      </w:r>
      <w:r>
        <w:rPr>
          <w:b/>
          <w:sz w:val="26"/>
        </w:rPr>
        <w:t>LLP</w:t>
      </w:r>
      <w:r>
        <w:rPr>
          <w:b/>
        </w:rPr>
        <w:t xml:space="preserve"> </w:t>
      </w:r>
    </w:p>
    <w:p w:rsidR="0007042B" w:rsidRDefault="00267A5E">
      <w:pPr>
        <w:spacing w:after="0" w:line="259" w:lineRule="auto"/>
        <w:ind w:left="0" w:firstLine="0"/>
        <w:jc w:val="left"/>
      </w:pPr>
      <w:r>
        <w:t xml:space="preserve"> </w:t>
      </w:r>
    </w:p>
    <w:p w:rsidR="0007042B" w:rsidRDefault="00267A5E">
      <w:pPr>
        <w:spacing w:after="10"/>
        <w:ind w:left="-5" w:right="253"/>
      </w:pPr>
      <w:r>
        <w:t xml:space="preserve">Per: </w:t>
      </w:r>
    </w:p>
    <w:p w:rsidR="0007042B" w:rsidRDefault="00267A5E">
      <w:pPr>
        <w:spacing w:after="0" w:line="259" w:lineRule="auto"/>
        <w:ind w:left="0" w:firstLine="0"/>
        <w:jc w:val="left"/>
      </w:pPr>
      <w:r>
        <w:t xml:space="preserve"> </w:t>
      </w:r>
    </w:p>
    <w:p w:rsidR="0007042B" w:rsidRDefault="00267A5E">
      <w:pPr>
        <w:ind w:left="-5" w:right="253"/>
      </w:pPr>
      <w:r>
        <w:t xml:space="preserve">CHRISTOPHER HARVEY, Q.C. </w:t>
      </w:r>
    </w:p>
    <w:p w:rsidR="0007042B" w:rsidRDefault="00267A5E">
      <w:pPr>
        <w:spacing w:after="10"/>
        <w:ind w:left="-5" w:right="253"/>
      </w:pPr>
      <w:proofErr w:type="spellStart"/>
      <w:r>
        <w:t>CWH</w:t>
      </w:r>
      <w:proofErr w:type="gramStart"/>
      <w:r>
        <w:t>:jc</w:t>
      </w:r>
      <w:proofErr w:type="spellEnd"/>
      <w:proofErr w:type="gramEnd"/>
      <w:r>
        <w:t xml:space="preserve"> </w:t>
      </w:r>
    </w:p>
    <w:p w:rsidR="0007042B" w:rsidRDefault="00267A5E">
      <w:pPr>
        <w:spacing w:after="4875" w:line="259" w:lineRule="auto"/>
        <w:ind w:left="0" w:firstLine="0"/>
        <w:jc w:val="left"/>
      </w:pPr>
      <w:r>
        <w:t xml:space="preserve"> </w:t>
      </w:r>
    </w:p>
    <w:p w:rsidR="0007042B" w:rsidRDefault="00267A5E">
      <w:pPr>
        <w:tabs>
          <w:tab w:val="center" w:pos="4681"/>
        </w:tabs>
        <w:spacing w:after="0" w:line="259" w:lineRule="auto"/>
        <w:ind w:left="0" w:firstLine="0"/>
        <w:jc w:val="left"/>
      </w:pPr>
      <w:r>
        <w:rPr>
          <w:sz w:val="14"/>
        </w:rPr>
        <w:lastRenderedPageBreak/>
        <w:t>G2674/0000/00546066</w:t>
      </w:r>
      <w:r>
        <w:t xml:space="preserve"> </w:t>
      </w:r>
      <w:r>
        <w:tab/>
        <w:t xml:space="preserve"> </w:t>
      </w:r>
    </w:p>
    <w:p w:rsidR="0007042B" w:rsidRDefault="00267A5E">
      <w:pPr>
        <w:spacing w:after="0" w:line="259" w:lineRule="auto"/>
        <w:ind w:left="0" w:right="270" w:firstLine="0"/>
        <w:jc w:val="center"/>
      </w:pPr>
      <w:r>
        <w:t xml:space="preserve">- 2 - </w:t>
      </w:r>
    </w:p>
    <w:sectPr w:rsidR="0007042B">
      <w:type w:val="continuous"/>
      <w:pgSz w:w="12240" w:h="15840"/>
      <w:pgMar w:top="1008" w:right="884" w:bottom="43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2B"/>
    <w:rsid w:val="0007042B"/>
    <w:rsid w:val="00267A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398836-79BD-4925-8B35-D80B66AA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0" w:line="249" w:lineRule="auto"/>
      <w:ind w:left="118"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42"/>
      <w:outlineLvl w:val="0"/>
    </w:pPr>
    <w:rPr>
      <w:rFonts w:ascii="Times New Roman" w:eastAsia="Times New Roman" w:hAnsi="Times New Roman" w:cs="Times New Roman"/>
      <w:color w:val="000000"/>
      <w:sz w:val="25"/>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5"/>
      <w:vertAlign w:val="subscript"/>
    </w:rPr>
  </w:style>
  <w:style w:type="paragraph" w:styleId="BalloonText">
    <w:name w:val="Balloon Text"/>
    <w:basedOn w:val="Normal"/>
    <w:link w:val="BalloonTextChar"/>
    <w:uiPriority w:val="99"/>
    <w:semiHidden/>
    <w:unhideWhenUsed/>
    <w:rsid w:val="00267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A5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LT re Merville Water bottling license (00546066).DOCX</vt:lpstr>
    </vt:vector>
  </TitlesOfParts>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 re Merville Water bottling license (00546066).DOCX</dc:title>
  <dc:subject>G2674\0000\00546066</dc:subject>
  <dc:creator>Jennifer Chung</dc:creator>
  <cp:keywords/>
  <cp:lastModifiedBy>Sandra</cp:lastModifiedBy>
  <cp:revision>2</cp:revision>
  <cp:lastPrinted>2022-05-04T17:13:00Z</cp:lastPrinted>
  <dcterms:created xsi:type="dcterms:W3CDTF">2022-05-04T17:15:00Z</dcterms:created>
  <dcterms:modified xsi:type="dcterms:W3CDTF">2022-05-04T17:15:00Z</dcterms:modified>
</cp:coreProperties>
</file>